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DE98" w14:textId="2E00BF6D" w:rsidR="00A41B04" w:rsidRPr="00FB28A9" w:rsidRDefault="00A41B04" w:rsidP="00FB28A9">
      <w:pPr>
        <w:pStyle w:val="Heading1"/>
        <w:jc w:val="center"/>
      </w:pPr>
      <w:proofErr w:type="spellStart"/>
      <w:r>
        <w:t>Opt</w:t>
      </w:r>
      <w:proofErr w:type="spellEnd"/>
      <w:r>
        <w:t xml:space="preserve"> Out Policy</w:t>
      </w:r>
    </w:p>
    <w:p w14:paraId="6C581E12" w14:textId="77777777" w:rsidR="00A41B04" w:rsidRDefault="00A41B04" w:rsidP="00A41B04">
      <w:pPr>
        <w:pStyle w:val="Heading2"/>
        <w:numPr>
          <w:ilvl w:val="0"/>
          <w:numId w:val="39"/>
        </w:numPr>
        <w:spacing w:before="40" w:line="360" w:lineRule="auto"/>
      </w:pPr>
      <w:r>
        <w:t>Introduction</w:t>
      </w:r>
    </w:p>
    <w:p w14:paraId="0B8682DE" w14:textId="1DD480F0" w:rsidR="00A41B04" w:rsidRDefault="00A41B04" w:rsidP="00A41B04">
      <w:pPr>
        <w:pStyle w:val="ListParagraph"/>
        <w:numPr>
          <w:ilvl w:val="1"/>
          <w:numId w:val="39"/>
        </w:numPr>
        <w:spacing w:after="160" w:line="360" w:lineRule="auto"/>
      </w:pPr>
      <w:r>
        <w:t>This Opt-Out</w:t>
      </w:r>
      <w:r w:rsidR="00FB28A9">
        <w:t xml:space="preserve"> Policy</w:t>
      </w:r>
      <w:r>
        <w:t xml:space="preserve"> is </w:t>
      </w:r>
      <w:r w:rsidRPr="00452779">
        <w:rPr>
          <w:b/>
          <w:i/>
          <w:highlight w:val="yellow"/>
          <w:u w:val="single"/>
        </w:rPr>
        <w:t>insert organisation name here</w:t>
      </w:r>
      <w:r>
        <w:rPr>
          <w:i/>
        </w:rPr>
        <w:t>’s</w:t>
      </w:r>
      <w:r>
        <w:t xml:space="preserve"> (hereafter referred to as "us", "we", or "our") policy regarding how </w:t>
      </w:r>
      <w:r w:rsidR="00FB28A9">
        <w:t>services use</w:t>
      </w:r>
      <w:r w:rsidR="00952946">
        <w:t xml:space="preserve">rs can opt out of having their data used </w:t>
      </w:r>
      <w:r w:rsidR="000A640E">
        <w:t>in the</w:t>
      </w:r>
      <w:r w:rsidR="00430823">
        <w:t xml:space="preserve"> Vivaldi Social Care research project</w:t>
      </w:r>
      <w:r w:rsidR="000A640E">
        <w:t xml:space="preserve"> </w:t>
      </w:r>
      <w:r>
        <w:t xml:space="preserve">. </w:t>
      </w:r>
    </w:p>
    <w:p w14:paraId="42572889" w14:textId="77777777" w:rsidR="00A41B04" w:rsidRDefault="00A41B04" w:rsidP="00A41B04">
      <w:pPr>
        <w:pStyle w:val="Heading2"/>
        <w:numPr>
          <w:ilvl w:val="0"/>
          <w:numId w:val="39"/>
        </w:numPr>
        <w:spacing w:before="40" w:line="360" w:lineRule="auto"/>
      </w:pPr>
      <w:r>
        <w:t>Purpose</w:t>
      </w:r>
    </w:p>
    <w:p w14:paraId="2085F9FA" w14:textId="1BC5FDFC" w:rsidR="0098524D" w:rsidRDefault="00A41B04" w:rsidP="00A41B04">
      <w:pPr>
        <w:pStyle w:val="ListParagraph"/>
        <w:numPr>
          <w:ilvl w:val="1"/>
          <w:numId w:val="39"/>
        </w:numPr>
        <w:spacing w:after="160" w:line="360" w:lineRule="auto"/>
      </w:pPr>
      <w:r>
        <w:t xml:space="preserve">This policy </w:t>
      </w:r>
      <w:r w:rsidR="0048439C">
        <w:t xml:space="preserve">has been </w:t>
      </w:r>
      <w:r w:rsidR="000A640E">
        <w:t>implemented</w:t>
      </w:r>
      <w:r w:rsidR="00E87C7C">
        <w:t xml:space="preserve"> because</w:t>
      </w:r>
      <w:r w:rsidR="000A640E">
        <w:t xml:space="preserve"> </w:t>
      </w:r>
      <w:r w:rsidR="00E87C7C" w:rsidRPr="00E87C7C">
        <w:t>we are</w:t>
      </w:r>
      <w:r w:rsidR="000A640E">
        <w:t xml:space="preserve"> participating in the Vivaldi Social Care research project. </w:t>
      </w:r>
    </w:p>
    <w:p w14:paraId="31129BE4" w14:textId="77777777" w:rsidR="0098524D" w:rsidRDefault="0098524D" w:rsidP="00A41B04">
      <w:pPr>
        <w:pStyle w:val="ListParagraph"/>
        <w:numPr>
          <w:ilvl w:val="1"/>
          <w:numId w:val="39"/>
        </w:numPr>
        <w:spacing w:after="160" w:line="360" w:lineRule="auto"/>
      </w:pPr>
      <w:r>
        <w:t xml:space="preserve">This policy </w:t>
      </w:r>
      <w:r w:rsidR="00A41B04">
        <w:t>will ensure that</w:t>
      </w:r>
      <w:r w:rsidR="0048439C">
        <w:t xml:space="preserve"> our organisation does not use service user’s data in </w:t>
      </w:r>
      <w:r>
        <w:t xml:space="preserve">this project where they have opted out of doing so. </w:t>
      </w:r>
    </w:p>
    <w:p w14:paraId="7BC3BF31" w14:textId="222791A0" w:rsidR="0098524D" w:rsidRDefault="0098524D" w:rsidP="00A41B04">
      <w:pPr>
        <w:pStyle w:val="ListParagraph"/>
        <w:numPr>
          <w:ilvl w:val="1"/>
          <w:numId w:val="39"/>
        </w:numPr>
        <w:spacing w:after="160" w:line="360" w:lineRule="auto"/>
      </w:pPr>
      <w:r>
        <w:t>This policy will detail how service users can opt out of having their data used either by:</w:t>
      </w:r>
    </w:p>
    <w:p w14:paraId="769B367D" w14:textId="77777777" w:rsidR="0098524D" w:rsidRDefault="0098524D" w:rsidP="0098524D">
      <w:pPr>
        <w:pStyle w:val="ListParagraph"/>
        <w:numPr>
          <w:ilvl w:val="2"/>
          <w:numId w:val="39"/>
        </w:numPr>
        <w:spacing w:after="160" w:line="360" w:lineRule="auto"/>
      </w:pPr>
      <w:r>
        <w:t xml:space="preserve">The National Data </w:t>
      </w:r>
      <w:proofErr w:type="spellStart"/>
      <w:r>
        <w:t>Opt</w:t>
      </w:r>
      <w:proofErr w:type="spellEnd"/>
      <w:r>
        <w:t xml:space="preserve"> Out</w:t>
      </w:r>
    </w:p>
    <w:p w14:paraId="6E4466FF" w14:textId="4C2ADD5D" w:rsidR="00A41B04" w:rsidRDefault="0098524D" w:rsidP="0098524D">
      <w:pPr>
        <w:pStyle w:val="ListParagraph"/>
        <w:numPr>
          <w:ilvl w:val="2"/>
          <w:numId w:val="39"/>
        </w:numPr>
        <w:spacing w:after="160" w:line="360" w:lineRule="auto"/>
      </w:pPr>
      <w:r>
        <w:t>In-service opt</w:t>
      </w:r>
      <w:r w:rsidR="00275693">
        <w:t xml:space="preserve"> </w:t>
      </w:r>
      <w:r>
        <w:t xml:space="preserve">out. </w:t>
      </w:r>
    </w:p>
    <w:p w14:paraId="3F754FD4" w14:textId="6ED05D0A" w:rsidR="00A41B04" w:rsidRDefault="00A41B04" w:rsidP="00DF76E9">
      <w:pPr>
        <w:pStyle w:val="Heading2"/>
        <w:numPr>
          <w:ilvl w:val="0"/>
          <w:numId w:val="39"/>
        </w:numPr>
        <w:spacing w:before="40" w:line="360" w:lineRule="auto"/>
      </w:pPr>
      <w:r>
        <w:t>Scope</w:t>
      </w:r>
    </w:p>
    <w:p w14:paraId="3FA3F3CE" w14:textId="6D5ED505" w:rsidR="00DF76E9" w:rsidRDefault="00A41B04" w:rsidP="00A41B04">
      <w:pPr>
        <w:pStyle w:val="ListParagraph"/>
        <w:numPr>
          <w:ilvl w:val="1"/>
          <w:numId w:val="39"/>
        </w:numPr>
        <w:spacing w:after="160" w:line="360" w:lineRule="auto"/>
      </w:pPr>
      <w:r>
        <w:t xml:space="preserve">This policy applies to all </w:t>
      </w:r>
      <w:r w:rsidR="0098524D">
        <w:t>service users</w:t>
      </w:r>
      <w:r>
        <w:t>.</w:t>
      </w:r>
    </w:p>
    <w:p w14:paraId="12844100" w14:textId="7A487D84" w:rsidR="00A41B04" w:rsidRDefault="00DF76E9" w:rsidP="00A41B04">
      <w:pPr>
        <w:pStyle w:val="ListParagraph"/>
        <w:numPr>
          <w:ilvl w:val="1"/>
          <w:numId w:val="39"/>
        </w:numPr>
        <w:spacing w:after="160" w:line="360" w:lineRule="auto"/>
      </w:pPr>
      <w:r>
        <w:t>Th</w:t>
      </w:r>
      <w:r w:rsidR="00E87C7C">
        <w:t>e</w:t>
      </w:r>
      <w:r>
        <w:t xml:space="preserve"> data which is covered by this policy is specifically NHS numbers processed digitally.</w:t>
      </w:r>
      <w:r w:rsidR="003D74F4">
        <w:t xml:space="preserve"> No other service user data is in scope for this project. </w:t>
      </w:r>
    </w:p>
    <w:p w14:paraId="1D7FC1A0" w14:textId="23A9D58D" w:rsidR="003D74F4" w:rsidRDefault="003D74F4" w:rsidP="00A41B04">
      <w:pPr>
        <w:pStyle w:val="ListParagraph"/>
        <w:numPr>
          <w:ilvl w:val="1"/>
          <w:numId w:val="39"/>
        </w:numPr>
        <w:spacing w:after="160" w:line="360" w:lineRule="auto"/>
      </w:pPr>
      <w:r>
        <w:t xml:space="preserve">This policy does not apply to staff data as this is not included in the project. </w:t>
      </w:r>
    </w:p>
    <w:p w14:paraId="76BE4D53" w14:textId="67BC49B2" w:rsidR="00A41B04" w:rsidRDefault="008E5AE0" w:rsidP="00A41B04">
      <w:pPr>
        <w:pStyle w:val="Heading2"/>
        <w:numPr>
          <w:ilvl w:val="0"/>
          <w:numId w:val="39"/>
        </w:numPr>
        <w:spacing w:before="40" w:line="360" w:lineRule="auto"/>
      </w:pPr>
      <w:r>
        <w:t xml:space="preserve">The National Data </w:t>
      </w:r>
      <w:proofErr w:type="spellStart"/>
      <w:r>
        <w:t>Opt</w:t>
      </w:r>
      <w:proofErr w:type="spellEnd"/>
      <w:r>
        <w:t xml:space="preserve"> Out</w:t>
      </w:r>
    </w:p>
    <w:p w14:paraId="49F4A2AC" w14:textId="1D2B8830" w:rsidR="00A41B04" w:rsidRPr="00EA4778" w:rsidRDefault="00795F9E" w:rsidP="00795F9E">
      <w:pPr>
        <w:pStyle w:val="ListParagraph"/>
        <w:numPr>
          <w:ilvl w:val="1"/>
          <w:numId w:val="39"/>
        </w:numPr>
        <w:spacing w:after="160" w:line="360" w:lineRule="auto"/>
        <w:rPr>
          <w:u w:val="single"/>
        </w:rPr>
      </w:pPr>
      <w:r>
        <w:t xml:space="preserve">All citizens can choose to opt-out of </w:t>
      </w:r>
      <w:r w:rsidR="004256ED">
        <w:t xml:space="preserve">having their data used for purposes beyond direct care. This is called the National Data </w:t>
      </w:r>
      <w:proofErr w:type="spellStart"/>
      <w:r w:rsidR="004256ED">
        <w:t>Opt</w:t>
      </w:r>
      <w:proofErr w:type="spellEnd"/>
      <w:r w:rsidR="004256ED">
        <w:t xml:space="preserve"> Out. </w:t>
      </w:r>
      <w:r w:rsidR="00EA4778">
        <w:t xml:space="preserve">There is more information on how service users can opt out on the </w:t>
      </w:r>
      <w:hyperlink r:id="rId10" w:history="1">
        <w:r w:rsidR="00EA4778" w:rsidRPr="00EA4778">
          <w:rPr>
            <w:rStyle w:val="Hyperlink"/>
          </w:rPr>
          <w:t>Your Data Matters website</w:t>
        </w:r>
      </w:hyperlink>
      <w:r w:rsidR="00EA4778">
        <w:t xml:space="preserve">. </w:t>
      </w:r>
      <w:r w:rsidR="004256ED">
        <w:t xml:space="preserve"> </w:t>
      </w:r>
    </w:p>
    <w:p w14:paraId="7C2570C6" w14:textId="17F6F46B" w:rsidR="00EA4778" w:rsidRPr="003621BA" w:rsidRDefault="00452779" w:rsidP="00795F9E">
      <w:pPr>
        <w:pStyle w:val="ListParagraph"/>
        <w:numPr>
          <w:ilvl w:val="1"/>
          <w:numId w:val="39"/>
        </w:numPr>
        <w:spacing w:after="160" w:line="360" w:lineRule="auto"/>
        <w:rPr>
          <w:u w:val="single"/>
        </w:rPr>
      </w:pPr>
      <w:r>
        <w:t xml:space="preserve">As part of the Vivaldi Social Care research project, we have instructed our digital social care records system supplier, </w:t>
      </w:r>
      <w:r w:rsidRPr="00452779">
        <w:rPr>
          <w:b/>
          <w:bCs/>
          <w:i/>
          <w:iCs/>
          <w:highlight w:val="yellow"/>
          <w:u w:val="single"/>
        </w:rPr>
        <w:t>Insert name of software supplier here</w:t>
      </w:r>
      <w:r>
        <w:t xml:space="preserve">, </w:t>
      </w:r>
      <w:r w:rsidR="001B7A00">
        <w:t xml:space="preserve">to send NHS numbers of participating </w:t>
      </w:r>
      <w:r w:rsidR="00275693">
        <w:t>service users to NHS England’s secure data environment daily.</w:t>
      </w:r>
    </w:p>
    <w:p w14:paraId="4F7C3600" w14:textId="23E5D689" w:rsidR="003621BA" w:rsidRDefault="00B85F06" w:rsidP="00795F9E">
      <w:pPr>
        <w:pStyle w:val="ListParagraph"/>
        <w:numPr>
          <w:ilvl w:val="1"/>
          <w:numId w:val="39"/>
        </w:numPr>
        <w:spacing w:after="160" w:line="360" w:lineRule="auto"/>
        <w:rPr>
          <w:u w:val="single"/>
        </w:rPr>
      </w:pPr>
      <w:r>
        <w:t xml:space="preserve">Records of national data opt outs are kept on the NHS Spine </w:t>
      </w:r>
      <w:r w:rsidR="00780824">
        <w:t xml:space="preserve">against an </w:t>
      </w:r>
      <w:r w:rsidR="00E55861">
        <w:t>individual’s</w:t>
      </w:r>
      <w:r w:rsidR="00780824">
        <w:t xml:space="preserve"> NHS number. </w:t>
      </w:r>
      <w:r w:rsidR="003621BA">
        <w:t xml:space="preserve">Before any data is transferred from </w:t>
      </w:r>
      <w:r w:rsidR="003621BA" w:rsidRPr="00780824">
        <w:rPr>
          <w:b/>
          <w:bCs/>
          <w:i/>
          <w:iCs/>
          <w:highlight w:val="yellow"/>
          <w:u w:val="single"/>
        </w:rPr>
        <w:t>Insert name of software supplier here</w:t>
      </w:r>
      <w:r w:rsidR="003621BA">
        <w:t xml:space="preserve"> </w:t>
      </w:r>
      <w:r w:rsidR="003621BA" w:rsidRPr="003621BA">
        <w:t>to</w:t>
      </w:r>
      <w:r w:rsidR="003621BA">
        <w:t xml:space="preserve"> NHS England’s secure data environment, </w:t>
      </w:r>
      <w:r w:rsidR="00CA7EAA">
        <w:t xml:space="preserve">the supplier will </w:t>
      </w:r>
      <w:r w:rsidR="008F0806">
        <w:t xml:space="preserve">use </w:t>
      </w:r>
      <w:r w:rsidR="00780824">
        <w:t xml:space="preserve">the </w:t>
      </w:r>
      <w:hyperlink r:id="rId11" w:anchor="the-check-for-national-data-opt-outs-service-technical-solution" w:history="1">
        <w:r w:rsidR="003544B5" w:rsidRPr="003544B5">
          <w:rPr>
            <w:rStyle w:val="Hyperlink"/>
          </w:rPr>
          <w:t xml:space="preserve">Messaging Exchange </w:t>
        </w:r>
        <w:r w:rsidR="003544B5" w:rsidRPr="003544B5">
          <w:rPr>
            <w:rStyle w:val="Hyperlink"/>
          </w:rPr>
          <w:lastRenderedPageBreak/>
          <w:t>for Social Care and Health (MESH)</w:t>
        </w:r>
      </w:hyperlink>
      <w:r w:rsidR="003544B5">
        <w:t xml:space="preserve"> </w:t>
      </w:r>
      <w:r w:rsidR="00780824">
        <w:t xml:space="preserve">to check if an opt out is in place. If a service user has opted out, no data will be shared </w:t>
      </w:r>
      <w:r w:rsidR="00C62A99">
        <w:t xml:space="preserve">with the VIVALDI project or </w:t>
      </w:r>
      <w:r w:rsidR="00780824">
        <w:t xml:space="preserve">with NHS England’s secure data environment. </w:t>
      </w:r>
    </w:p>
    <w:p w14:paraId="15CB0554" w14:textId="3D88E7A0" w:rsidR="00A41B04" w:rsidRDefault="00275693" w:rsidP="00A41B04">
      <w:pPr>
        <w:pStyle w:val="Heading2"/>
        <w:numPr>
          <w:ilvl w:val="0"/>
          <w:numId w:val="39"/>
        </w:numPr>
        <w:spacing w:before="40" w:line="360" w:lineRule="auto"/>
      </w:pPr>
      <w:r>
        <w:t xml:space="preserve">In-service </w:t>
      </w:r>
      <w:proofErr w:type="spellStart"/>
      <w:r w:rsidR="00F0106D">
        <w:t>Opt</w:t>
      </w:r>
      <w:proofErr w:type="spellEnd"/>
      <w:r>
        <w:t xml:space="preserve"> Out</w:t>
      </w:r>
    </w:p>
    <w:p w14:paraId="2F2A180F" w14:textId="4C6A26DD" w:rsidR="00A41B04" w:rsidRDefault="00F50558" w:rsidP="00A41B04">
      <w:pPr>
        <w:numPr>
          <w:ilvl w:val="1"/>
          <w:numId w:val="39"/>
        </w:numPr>
        <w:spacing w:after="160" w:line="360" w:lineRule="auto"/>
      </w:pPr>
      <w:r>
        <w:t xml:space="preserve">When we join the VIVALDI social care research project, all current </w:t>
      </w:r>
      <w:r w:rsidR="00C62A99">
        <w:t>service users</w:t>
      </w:r>
      <w:r>
        <w:t xml:space="preserve"> </w:t>
      </w:r>
      <w:r w:rsidR="00C8272F">
        <w:t xml:space="preserve">will be informed and will be told how they can opt out in our </w:t>
      </w:r>
      <w:r w:rsidR="00C8272F">
        <w:rPr>
          <w:b/>
          <w:bCs/>
        </w:rPr>
        <w:t xml:space="preserve">Information for Care Home Residents </w:t>
      </w:r>
      <w:r w:rsidR="00C8272F">
        <w:t xml:space="preserve">leaflet. </w:t>
      </w:r>
    </w:p>
    <w:p w14:paraId="546E3FA3" w14:textId="0786A182" w:rsidR="00652876" w:rsidRDefault="00652876" w:rsidP="00A41B04">
      <w:pPr>
        <w:numPr>
          <w:ilvl w:val="1"/>
          <w:numId w:val="39"/>
        </w:numPr>
        <w:spacing w:after="160" w:line="360" w:lineRule="auto"/>
      </w:pPr>
      <w:r>
        <w:t xml:space="preserve">Service Users can opt out verbally or in writing </w:t>
      </w:r>
      <w:r w:rsidR="00C62A99">
        <w:t xml:space="preserve">(either on paper or digitally) </w:t>
      </w:r>
      <w:r>
        <w:t xml:space="preserve">at any time throughout the lifespan of the project. </w:t>
      </w:r>
      <w:r w:rsidR="00C62A99">
        <w:t xml:space="preserve">There is more information about this in the </w:t>
      </w:r>
      <w:r w:rsidR="00C62A99">
        <w:rPr>
          <w:b/>
          <w:bCs/>
        </w:rPr>
        <w:t xml:space="preserve">Information for Care Home Residents </w:t>
      </w:r>
      <w:r w:rsidR="00C62A99">
        <w:t>leaflet.</w:t>
      </w:r>
    </w:p>
    <w:p w14:paraId="3018D7F5" w14:textId="7F91E2F8" w:rsidR="000623CB" w:rsidRDefault="000623CB" w:rsidP="00A41B04">
      <w:pPr>
        <w:numPr>
          <w:ilvl w:val="1"/>
          <w:numId w:val="39"/>
        </w:numPr>
        <w:spacing w:after="160" w:line="360" w:lineRule="auto"/>
      </w:pPr>
      <w:r>
        <w:t>Where a new service user enters the service, they will be informed of the</w:t>
      </w:r>
      <w:r w:rsidR="000C4E52">
        <w:t xml:space="preserve"> research and their options for opting out </w:t>
      </w:r>
      <w:r w:rsidR="000C4E52">
        <w:rPr>
          <w:b/>
          <w:bCs/>
        </w:rPr>
        <w:t xml:space="preserve">before </w:t>
      </w:r>
      <w:r w:rsidR="000C4E52">
        <w:t>any data processing as part of this research occurs.</w:t>
      </w:r>
    </w:p>
    <w:p w14:paraId="6BAC9570" w14:textId="418CB473" w:rsidR="000C4E52" w:rsidRDefault="006E05E5" w:rsidP="00A41B04">
      <w:pPr>
        <w:numPr>
          <w:ilvl w:val="1"/>
          <w:numId w:val="39"/>
        </w:numPr>
        <w:spacing w:after="160" w:line="360" w:lineRule="auto"/>
      </w:pPr>
      <w:r>
        <w:t>Where a service user has opted out,</w:t>
      </w:r>
      <w:r w:rsidR="00015A6D">
        <w:t xml:space="preserve"> </w:t>
      </w:r>
      <w:r w:rsidR="00A21F69">
        <w:t xml:space="preserve">this will be recorded in </w:t>
      </w:r>
      <w:r w:rsidRPr="00452779">
        <w:rPr>
          <w:b/>
          <w:bCs/>
          <w:i/>
          <w:iCs/>
          <w:highlight w:val="yellow"/>
          <w:u w:val="single"/>
        </w:rPr>
        <w:t>Insert name of software supplier here</w:t>
      </w:r>
      <w:r w:rsidR="00015A6D">
        <w:t xml:space="preserve"> </w:t>
      </w:r>
      <w:r w:rsidR="00445D00">
        <w:t>on the service user’s care record. T</w:t>
      </w:r>
      <w:r w:rsidR="00015A6D">
        <w:t>hat service user</w:t>
      </w:r>
      <w:r w:rsidR="00445D00">
        <w:t>’s</w:t>
      </w:r>
      <w:r w:rsidR="00015A6D">
        <w:t xml:space="preserve"> data will not be processed by </w:t>
      </w:r>
      <w:r w:rsidR="00445D00">
        <w:t>our software supplier</w:t>
      </w:r>
      <w:r w:rsidR="00F149B6">
        <w:t xml:space="preserve"> as part of the research project. </w:t>
      </w:r>
    </w:p>
    <w:p w14:paraId="466A61A8" w14:textId="584D6367" w:rsidR="00A41B04" w:rsidRDefault="00F149B6" w:rsidP="00E01EC2">
      <w:pPr>
        <w:numPr>
          <w:ilvl w:val="1"/>
          <w:numId w:val="39"/>
        </w:numPr>
        <w:spacing w:after="160" w:line="360" w:lineRule="auto"/>
      </w:pPr>
      <w:r>
        <w:t xml:space="preserve">A record of in-service opt outs will be kept </w:t>
      </w:r>
      <w:r w:rsidR="00445D00">
        <w:t xml:space="preserve">within </w:t>
      </w:r>
      <w:r w:rsidR="00547DEA">
        <w:t xml:space="preserve">the </w:t>
      </w:r>
      <w:r w:rsidR="005C4B59" w:rsidRPr="005C4B59">
        <w:rPr>
          <w:b/>
          <w:bCs/>
          <w:i/>
          <w:iCs/>
          <w:highlight w:val="yellow"/>
          <w:u w:val="single"/>
        </w:rPr>
        <w:t xml:space="preserve">Insert </w:t>
      </w:r>
      <w:r w:rsidR="00547DEA">
        <w:rPr>
          <w:b/>
          <w:bCs/>
          <w:i/>
          <w:iCs/>
          <w:highlight w:val="yellow"/>
          <w:u w:val="single"/>
        </w:rPr>
        <w:t>name of software supplier</w:t>
      </w:r>
      <w:r w:rsidR="005C4B59" w:rsidRPr="005C4B59">
        <w:rPr>
          <w:b/>
          <w:bCs/>
          <w:i/>
          <w:iCs/>
          <w:highlight w:val="yellow"/>
          <w:u w:val="single"/>
        </w:rPr>
        <w:t xml:space="preserve"> here</w:t>
      </w:r>
      <w:r w:rsidR="005C4B59" w:rsidRPr="00BD0900">
        <w:rPr>
          <w:b/>
          <w:bCs/>
          <w:i/>
          <w:iCs/>
        </w:rPr>
        <w:t xml:space="preserve"> </w:t>
      </w:r>
      <w:r w:rsidR="00BD0900">
        <w:t xml:space="preserve">system against that individual’s care record. This record will be stored for 7 years. </w:t>
      </w:r>
    </w:p>
    <w:p w14:paraId="7A314178" w14:textId="44D68E80" w:rsidR="00A41B04" w:rsidRDefault="002C6CFD" w:rsidP="00A41B04">
      <w:pPr>
        <w:pStyle w:val="Heading2"/>
        <w:numPr>
          <w:ilvl w:val="0"/>
          <w:numId w:val="39"/>
        </w:numPr>
        <w:spacing w:before="40" w:line="360" w:lineRule="auto"/>
      </w:pPr>
      <w:r>
        <w:t>Changes in opt out decisions</w:t>
      </w:r>
    </w:p>
    <w:p w14:paraId="4EA997D2" w14:textId="6C353D3F" w:rsidR="00A41B04" w:rsidRDefault="00A41B04" w:rsidP="00A41B04">
      <w:pPr>
        <w:numPr>
          <w:ilvl w:val="1"/>
          <w:numId w:val="39"/>
        </w:numPr>
        <w:spacing w:after="160" w:line="360" w:lineRule="auto"/>
      </w:pPr>
      <w:r>
        <w:t xml:space="preserve">All </w:t>
      </w:r>
      <w:r w:rsidR="002C6CFD">
        <w:t>service users have the right to change their mind on whether they opt out of having their data used as part of the VIVALDI social care research project at any time</w:t>
      </w:r>
      <w:r>
        <w:t>.</w:t>
      </w:r>
    </w:p>
    <w:p w14:paraId="5B323D9C" w14:textId="3BAFB4C2" w:rsidR="00A41B04" w:rsidRDefault="002C6CFD" w:rsidP="00A41B04">
      <w:pPr>
        <w:numPr>
          <w:ilvl w:val="1"/>
          <w:numId w:val="39"/>
        </w:numPr>
        <w:spacing w:after="160" w:line="360" w:lineRule="auto"/>
      </w:pPr>
      <w:r>
        <w:t xml:space="preserve">Where a service user decides to opt out in-service, the processes </w:t>
      </w:r>
      <w:r w:rsidR="00001E7F">
        <w:t xml:space="preserve">outlined above will be followed, even where they have previously been included in the study. </w:t>
      </w:r>
      <w:r w:rsidR="008463C0">
        <w:t xml:space="preserve">This change will be implemented </w:t>
      </w:r>
      <w:r w:rsidR="00BD0900">
        <w:t xml:space="preserve">within 7 days of the initial request. </w:t>
      </w:r>
    </w:p>
    <w:p w14:paraId="31728036" w14:textId="40AB75D6" w:rsidR="00A41B04" w:rsidRDefault="0030379C" w:rsidP="00A41B04">
      <w:pPr>
        <w:numPr>
          <w:ilvl w:val="1"/>
          <w:numId w:val="39"/>
        </w:numPr>
        <w:spacing w:after="160" w:line="360" w:lineRule="auto"/>
      </w:pPr>
      <w:r>
        <w:t>Where a service user who has previously opted out in-service decides that they wish to be included,</w:t>
      </w:r>
      <w:r w:rsidR="00020589">
        <w:t xml:space="preserve"> we will </w:t>
      </w:r>
      <w:r w:rsidR="00D166B0">
        <w:t xml:space="preserve">utilise the existing opt-in and opt-out functionality within </w:t>
      </w:r>
      <w:r w:rsidR="00020589" w:rsidRPr="00452779">
        <w:rPr>
          <w:b/>
          <w:bCs/>
          <w:i/>
          <w:iCs/>
          <w:highlight w:val="yellow"/>
          <w:u w:val="single"/>
        </w:rPr>
        <w:t>Insert name of software supplier here</w:t>
      </w:r>
      <w:r w:rsidR="00D166B0">
        <w:t xml:space="preserve">’s system </w:t>
      </w:r>
      <w:r w:rsidR="00020589">
        <w:t>and that service user data will then be included going forward</w:t>
      </w:r>
      <w:r w:rsidR="00A41B04">
        <w:t>.</w:t>
      </w:r>
    </w:p>
    <w:p w14:paraId="6531D1DA" w14:textId="667033FC" w:rsidR="00A41B04" w:rsidRDefault="00020589" w:rsidP="00A41B04">
      <w:pPr>
        <w:numPr>
          <w:ilvl w:val="1"/>
          <w:numId w:val="39"/>
        </w:numPr>
        <w:spacing w:after="160" w:line="360" w:lineRule="auto"/>
      </w:pPr>
      <w:r>
        <w:lastRenderedPageBreak/>
        <w:t xml:space="preserve">Where a service user has opted out through the National Data </w:t>
      </w:r>
      <w:proofErr w:type="spellStart"/>
      <w:r>
        <w:t>Opt</w:t>
      </w:r>
      <w:proofErr w:type="spellEnd"/>
      <w:r>
        <w:t xml:space="preserve"> Out process. They can amend their opt out decisions </w:t>
      </w:r>
      <w:r w:rsidR="00913996">
        <w:t xml:space="preserve">using the guidance available on the </w:t>
      </w:r>
      <w:hyperlink r:id="rId12" w:history="1">
        <w:r w:rsidR="00913996" w:rsidRPr="00EA4778">
          <w:rPr>
            <w:rStyle w:val="Hyperlink"/>
          </w:rPr>
          <w:t>Your Data Matters website</w:t>
        </w:r>
      </w:hyperlink>
    </w:p>
    <w:p w14:paraId="434C82D2" w14:textId="77777777" w:rsidR="00A41B04" w:rsidRDefault="00A41B04" w:rsidP="00A41B04">
      <w:pPr>
        <w:pStyle w:val="Heading2"/>
        <w:numPr>
          <w:ilvl w:val="0"/>
          <w:numId w:val="39"/>
        </w:numPr>
        <w:spacing w:before="40" w:line="360" w:lineRule="auto"/>
      </w:pPr>
      <w:r>
        <w:t>Responsibilities</w:t>
      </w:r>
    </w:p>
    <w:p w14:paraId="5C5E6273" w14:textId="785E88FF" w:rsidR="00A41B04" w:rsidRDefault="00C860BF" w:rsidP="00A41B04">
      <w:pPr>
        <w:numPr>
          <w:ilvl w:val="1"/>
          <w:numId w:val="39"/>
        </w:numPr>
        <w:spacing w:after="160" w:line="360" w:lineRule="auto"/>
      </w:pPr>
      <w:r w:rsidRPr="00C860BF">
        <w:rPr>
          <w:b/>
          <w:bCs/>
          <w:i/>
          <w:iCs/>
          <w:highlight w:val="yellow"/>
          <w:u w:val="single"/>
        </w:rPr>
        <w:t>Insert Job Role</w:t>
      </w:r>
      <w:r w:rsidR="00A41B04">
        <w:t xml:space="preserve"> is responsible for maintaining</w:t>
      </w:r>
      <w:r w:rsidR="00B41858">
        <w:t xml:space="preserve"> and monitoring</w:t>
      </w:r>
      <w:r w:rsidR="00A41B04">
        <w:t xml:space="preserve"> records </w:t>
      </w:r>
      <w:r w:rsidR="00913996">
        <w:t>of opt outs</w:t>
      </w:r>
      <w:r w:rsidR="00A41B04">
        <w:t>.</w:t>
      </w:r>
      <w:r w:rsidR="00B510F3">
        <w:t xml:space="preserve"> A review of all opt outs will be carried out in line with </w:t>
      </w:r>
      <w:r w:rsidR="00B41858" w:rsidRPr="00813FF9">
        <w:rPr>
          <w:b/>
          <w:bCs/>
          <w:i/>
          <w:iCs/>
          <w:highlight w:val="yellow"/>
          <w:u w:val="single"/>
        </w:rPr>
        <w:t>our care plan review process</w:t>
      </w:r>
      <w:r w:rsidR="00813FF9">
        <w:t>.</w:t>
      </w:r>
    </w:p>
    <w:p w14:paraId="2BF3AB32" w14:textId="798D20F2" w:rsidR="00A41B04" w:rsidRDefault="00C860BF" w:rsidP="00A41B04">
      <w:pPr>
        <w:numPr>
          <w:ilvl w:val="1"/>
          <w:numId w:val="39"/>
        </w:numPr>
        <w:spacing w:after="160" w:line="360" w:lineRule="auto"/>
      </w:pPr>
      <w:r w:rsidRPr="00C860BF">
        <w:rPr>
          <w:b/>
          <w:bCs/>
          <w:i/>
          <w:iCs/>
          <w:highlight w:val="yellow"/>
          <w:u w:val="single"/>
        </w:rPr>
        <w:t>Insert Job Role</w:t>
      </w:r>
      <w:r>
        <w:t xml:space="preserve"> </w:t>
      </w:r>
      <w:r w:rsidR="00A41B04">
        <w:t xml:space="preserve">is responsible for </w:t>
      </w:r>
      <w:r>
        <w:t>communicating with</w:t>
      </w:r>
      <w:r w:rsidR="00217EA3">
        <w:t xml:space="preserve"> </w:t>
      </w:r>
      <w:r w:rsidR="00217EA3" w:rsidRPr="00452779">
        <w:rPr>
          <w:b/>
          <w:bCs/>
          <w:i/>
          <w:iCs/>
          <w:highlight w:val="yellow"/>
          <w:u w:val="single"/>
        </w:rPr>
        <w:t>Insert name of software supplier here</w:t>
      </w:r>
      <w:r>
        <w:t xml:space="preserve"> </w:t>
      </w:r>
      <w:r w:rsidR="00217EA3">
        <w:t>about service user opt outs</w:t>
      </w:r>
      <w:r w:rsidR="00A41B04">
        <w:t>.</w:t>
      </w:r>
    </w:p>
    <w:p w14:paraId="77C69DB8" w14:textId="1F1F1CB8" w:rsidR="00A41B04" w:rsidRDefault="00217EA3" w:rsidP="00A41B04">
      <w:pPr>
        <w:numPr>
          <w:ilvl w:val="1"/>
          <w:numId w:val="39"/>
        </w:numPr>
        <w:spacing w:after="160" w:line="360" w:lineRule="auto"/>
      </w:pPr>
      <w:r w:rsidRPr="00C860BF">
        <w:rPr>
          <w:b/>
          <w:bCs/>
          <w:i/>
          <w:iCs/>
          <w:highlight w:val="yellow"/>
          <w:u w:val="single"/>
        </w:rPr>
        <w:t>Insert Job Role</w:t>
      </w:r>
      <w:r>
        <w:t xml:space="preserve"> </w:t>
      </w:r>
      <w:r w:rsidR="00A41B04">
        <w:t>will monitor compliance with th</w:t>
      </w:r>
      <w:r>
        <w:t xml:space="preserve">is </w:t>
      </w:r>
      <w:r w:rsidR="00A41B04">
        <w:t>Policy and has responsibility for reviewing the policy at least annually.</w:t>
      </w:r>
    </w:p>
    <w:p w14:paraId="199D9DFF" w14:textId="77777777" w:rsidR="00A41B04" w:rsidRDefault="00A41B04" w:rsidP="00A41B04">
      <w:pPr>
        <w:pStyle w:val="Heading2"/>
        <w:numPr>
          <w:ilvl w:val="0"/>
          <w:numId w:val="39"/>
        </w:numPr>
        <w:spacing w:before="40" w:line="360" w:lineRule="auto"/>
      </w:pPr>
      <w:r>
        <w:t>Approval</w:t>
      </w:r>
    </w:p>
    <w:p w14:paraId="4EC306BE" w14:textId="77777777" w:rsidR="00A41B04" w:rsidRDefault="00A41B04" w:rsidP="00A41B04">
      <w:pPr>
        <w:numPr>
          <w:ilvl w:val="1"/>
          <w:numId w:val="39"/>
        </w:numPr>
        <w:spacing w:after="160" w:line="360" w:lineRule="auto"/>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A41B04" w:rsidRPr="00C421CE" w14:paraId="4AEBB84A" w14:textId="77777777" w:rsidTr="00225A93">
        <w:tc>
          <w:tcPr>
            <w:tcW w:w="2376" w:type="dxa"/>
            <w:tcBorders>
              <w:top w:val="single" w:sz="4" w:space="0" w:color="auto"/>
              <w:left w:val="single" w:sz="4" w:space="0" w:color="auto"/>
              <w:bottom w:val="single" w:sz="4" w:space="0" w:color="auto"/>
              <w:right w:val="single" w:sz="4" w:space="0" w:color="auto"/>
            </w:tcBorders>
            <w:hideMark/>
          </w:tcPr>
          <w:p w14:paraId="2AE68F53" w14:textId="77777777" w:rsidR="00A41B04" w:rsidRPr="00C421CE" w:rsidRDefault="00A41B04" w:rsidP="00225A93">
            <w:pPr>
              <w:rPr>
                <w:rFonts w:asciiTheme="minorHAnsi" w:hAnsiTheme="minorHAnsi"/>
              </w:rPr>
            </w:pPr>
            <w:r w:rsidRPr="00C421CE">
              <w:rPr>
                <w:rFonts w:asciiTheme="minorHAnsi" w:hAnsiTheme="minorHAnsi"/>
              </w:rPr>
              <w:t>Name</w:t>
            </w:r>
          </w:p>
        </w:tc>
        <w:tc>
          <w:tcPr>
            <w:tcW w:w="5786" w:type="dxa"/>
            <w:tcBorders>
              <w:top w:val="single" w:sz="4" w:space="0" w:color="auto"/>
              <w:left w:val="single" w:sz="4" w:space="0" w:color="auto"/>
              <w:bottom w:val="single" w:sz="4" w:space="0" w:color="auto"/>
              <w:right w:val="single" w:sz="4" w:space="0" w:color="auto"/>
            </w:tcBorders>
          </w:tcPr>
          <w:p w14:paraId="6A1536FF" w14:textId="77777777" w:rsidR="00A41B04" w:rsidRPr="00C421CE" w:rsidRDefault="00A41B04" w:rsidP="00225A93">
            <w:pPr>
              <w:rPr>
                <w:rFonts w:asciiTheme="minorHAnsi" w:hAnsiTheme="minorHAnsi"/>
              </w:rPr>
            </w:pPr>
          </w:p>
        </w:tc>
      </w:tr>
      <w:tr w:rsidR="00A41B04" w:rsidRPr="00C421CE" w14:paraId="23B1FE8C" w14:textId="77777777" w:rsidTr="00225A93">
        <w:tc>
          <w:tcPr>
            <w:tcW w:w="2376" w:type="dxa"/>
            <w:tcBorders>
              <w:top w:val="single" w:sz="4" w:space="0" w:color="auto"/>
              <w:left w:val="single" w:sz="4" w:space="0" w:color="auto"/>
              <w:bottom w:val="single" w:sz="4" w:space="0" w:color="auto"/>
              <w:right w:val="single" w:sz="4" w:space="0" w:color="auto"/>
            </w:tcBorders>
            <w:hideMark/>
          </w:tcPr>
          <w:p w14:paraId="5009DF0D" w14:textId="77777777" w:rsidR="00A41B04" w:rsidRPr="00C421CE" w:rsidRDefault="00A41B04" w:rsidP="00225A93">
            <w:pPr>
              <w:rPr>
                <w:rFonts w:asciiTheme="minorHAnsi" w:hAnsiTheme="minorHAnsi"/>
              </w:rPr>
            </w:pPr>
            <w:r w:rsidRPr="00C421CE">
              <w:rPr>
                <w:rFonts w:asciiTheme="minorHAnsi" w:hAnsiTheme="minorHAnsi"/>
              </w:rPr>
              <w:t>Signature</w:t>
            </w:r>
          </w:p>
        </w:tc>
        <w:tc>
          <w:tcPr>
            <w:tcW w:w="5786" w:type="dxa"/>
            <w:tcBorders>
              <w:top w:val="single" w:sz="4" w:space="0" w:color="auto"/>
              <w:left w:val="single" w:sz="4" w:space="0" w:color="auto"/>
              <w:bottom w:val="single" w:sz="4" w:space="0" w:color="auto"/>
              <w:right w:val="single" w:sz="4" w:space="0" w:color="auto"/>
            </w:tcBorders>
          </w:tcPr>
          <w:p w14:paraId="25BECC57" w14:textId="77777777" w:rsidR="00A41B04" w:rsidRPr="00C421CE" w:rsidRDefault="00A41B04" w:rsidP="00225A93">
            <w:pPr>
              <w:rPr>
                <w:rFonts w:asciiTheme="minorHAnsi" w:hAnsiTheme="minorHAnsi"/>
              </w:rPr>
            </w:pPr>
          </w:p>
        </w:tc>
      </w:tr>
      <w:tr w:rsidR="00A41B04" w:rsidRPr="00C421CE" w14:paraId="539A8678" w14:textId="77777777" w:rsidTr="00225A93">
        <w:tc>
          <w:tcPr>
            <w:tcW w:w="2376" w:type="dxa"/>
            <w:tcBorders>
              <w:top w:val="single" w:sz="4" w:space="0" w:color="auto"/>
              <w:left w:val="single" w:sz="4" w:space="0" w:color="auto"/>
              <w:bottom w:val="single" w:sz="4" w:space="0" w:color="auto"/>
              <w:right w:val="single" w:sz="4" w:space="0" w:color="auto"/>
            </w:tcBorders>
            <w:hideMark/>
          </w:tcPr>
          <w:p w14:paraId="7E7F0BA2" w14:textId="77777777" w:rsidR="00A41B04" w:rsidRPr="00C421CE" w:rsidRDefault="00A41B04" w:rsidP="00225A93">
            <w:pPr>
              <w:rPr>
                <w:rFonts w:asciiTheme="minorHAnsi" w:hAnsiTheme="minorHAnsi"/>
              </w:rPr>
            </w:pPr>
            <w:r w:rsidRPr="00C421CE">
              <w:rPr>
                <w:rFonts w:asciiTheme="minorHAnsi" w:hAnsiTheme="minorHAnsi"/>
              </w:rPr>
              <w:t>Approval Date</w:t>
            </w:r>
          </w:p>
        </w:tc>
        <w:tc>
          <w:tcPr>
            <w:tcW w:w="5786" w:type="dxa"/>
            <w:tcBorders>
              <w:top w:val="single" w:sz="4" w:space="0" w:color="auto"/>
              <w:left w:val="single" w:sz="4" w:space="0" w:color="auto"/>
              <w:bottom w:val="single" w:sz="4" w:space="0" w:color="auto"/>
              <w:right w:val="single" w:sz="4" w:space="0" w:color="auto"/>
            </w:tcBorders>
          </w:tcPr>
          <w:p w14:paraId="6AEE50B1" w14:textId="77777777" w:rsidR="00A41B04" w:rsidRPr="00C421CE" w:rsidRDefault="00A41B04" w:rsidP="00225A93">
            <w:pPr>
              <w:rPr>
                <w:rFonts w:asciiTheme="minorHAnsi" w:hAnsiTheme="minorHAnsi"/>
              </w:rPr>
            </w:pPr>
          </w:p>
        </w:tc>
      </w:tr>
      <w:tr w:rsidR="00A41B04" w:rsidRPr="00C421CE" w14:paraId="0295529F" w14:textId="77777777" w:rsidTr="00225A93">
        <w:tc>
          <w:tcPr>
            <w:tcW w:w="2376" w:type="dxa"/>
            <w:tcBorders>
              <w:top w:val="single" w:sz="4" w:space="0" w:color="auto"/>
              <w:left w:val="single" w:sz="4" w:space="0" w:color="auto"/>
              <w:bottom w:val="single" w:sz="4" w:space="0" w:color="auto"/>
              <w:right w:val="single" w:sz="4" w:space="0" w:color="auto"/>
            </w:tcBorders>
            <w:hideMark/>
          </w:tcPr>
          <w:p w14:paraId="6A258049" w14:textId="77777777" w:rsidR="00A41B04" w:rsidRPr="00C421CE" w:rsidRDefault="00A41B04" w:rsidP="00225A93">
            <w:pPr>
              <w:rPr>
                <w:rFonts w:asciiTheme="minorHAnsi" w:hAnsiTheme="minorHAnsi"/>
              </w:rPr>
            </w:pPr>
            <w:r w:rsidRPr="00C421CE">
              <w:rPr>
                <w:rFonts w:asciiTheme="minorHAnsi" w:hAnsiTheme="minorHAnsi"/>
              </w:rPr>
              <w:t>Review Date</w:t>
            </w:r>
          </w:p>
        </w:tc>
        <w:tc>
          <w:tcPr>
            <w:tcW w:w="5786" w:type="dxa"/>
            <w:tcBorders>
              <w:top w:val="single" w:sz="4" w:space="0" w:color="auto"/>
              <w:left w:val="single" w:sz="4" w:space="0" w:color="auto"/>
              <w:bottom w:val="single" w:sz="4" w:space="0" w:color="auto"/>
              <w:right w:val="single" w:sz="4" w:space="0" w:color="auto"/>
            </w:tcBorders>
          </w:tcPr>
          <w:p w14:paraId="3BB7506E" w14:textId="77777777" w:rsidR="00A41B04" w:rsidRPr="00C421CE" w:rsidRDefault="00A41B04" w:rsidP="00225A93">
            <w:pPr>
              <w:rPr>
                <w:rFonts w:asciiTheme="minorHAnsi" w:hAnsiTheme="minorHAnsi"/>
              </w:rPr>
            </w:pPr>
          </w:p>
        </w:tc>
      </w:tr>
    </w:tbl>
    <w:p w14:paraId="358F5C41" w14:textId="77777777" w:rsidR="00A41B04" w:rsidRDefault="00A41B04" w:rsidP="00A41B04"/>
    <w:p w14:paraId="57D2EFD3" w14:textId="77777777" w:rsidR="00A41B04" w:rsidRDefault="00A41B04" w:rsidP="00A41B04">
      <w:pPr>
        <w:spacing w:after="0" w:line="240" w:lineRule="auto"/>
        <w:rPr>
          <w:rFonts w:ascii="Arial" w:hAnsi="Arial" w:cs="Arial"/>
          <w:szCs w:val="24"/>
        </w:rPr>
      </w:pPr>
    </w:p>
    <w:p w14:paraId="524743B3" w14:textId="77777777" w:rsidR="00A41B04" w:rsidRPr="00361F98" w:rsidRDefault="00A41B04" w:rsidP="00A41B04"/>
    <w:p w14:paraId="69B7A2EB" w14:textId="77777777" w:rsidR="00A41B04" w:rsidRPr="00A41B04" w:rsidRDefault="00A41B04" w:rsidP="00A41B04"/>
    <w:p w14:paraId="1DD0D48C" w14:textId="77777777" w:rsidR="007965A2" w:rsidRPr="001022BD" w:rsidRDefault="007965A2" w:rsidP="007965A2"/>
    <w:p w14:paraId="59A31660" w14:textId="71D812CD" w:rsidR="009C4366" w:rsidRPr="006973D2" w:rsidRDefault="009C4366" w:rsidP="006973D2"/>
    <w:sectPr w:rsidR="009C4366" w:rsidRPr="006973D2" w:rsidSect="00EB4A8F">
      <w:headerReference w:type="default" r:id="rId13"/>
      <w:pgSz w:w="11906" w:h="16838"/>
      <w:pgMar w:top="1843"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13FA" w14:textId="77777777" w:rsidR="00EB4A8F" w:rsidRDefault="00EB4A8F" w:rsidP="001C6919">
      <w:pPr>
        <w:spacing w:after="0" w:line="240" w:lineRule="auto"/>
      </w:pPr>
      <w:r>
        <w:separator/>
      </w:r>
    </w:p>
  </w:endnote>
  <w:endnote w:type="continuationSeparator" w:id="0">
    <w:p w14:paraId="58ABC194" w14:textId="77777777" w:rsidR="00EB4A8F" w:rsidRDefault="00EB4A8F"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09DD" w14:textId="77777777" w:rsidR="00EB4A8F" w:rsidRDefault="00EB4A8F" w:rsidP="001C6919">
      <w:pPr>
        <w:spacing w:after="0" w:line="240" w:lineRule="auto"/>
      </w:pPr>
      <w:r>
        <w:separator/>
      </w:r>
    </w:p>
  </w:footnote>
  <w:footnote w:type="continuationSeparator" w:id="0">
    <w:p w14:paraId="3292D3A3" w14:textId="77777777" w:rsidR="00EB4A8F" w:rsidRDefault="00EB4A8F"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166B" w14:textId="7C6343C3" w:rsidR="001C6919" w:rsidRDefault="00053D1F">
    <w:pPr>
      <w:pStyle w:val="Header"/>
    </w:pPr>
    <w:r>
      <w:rPr>
        <w:noProof/>
      </w:rPr>
      <w:drawing>
        <wp:anchor distT="0" distB="0" distL="114300" distR="114300" simplePos="0" relativeHeight="251657216" behindDoc="1" locked="0" layoutInCell="1" allowOverlap="1" wp14:anchorId="1C5E4C79" wp14:editId="03C4BFDA">
          <wp:simplePos x="0" y="0"/>
          <wp:positionH relativeFrom="column">
            <wp:posOffset>4726305</wp:posOffset>
          </wp:positionH>
          <wp:positionV relativeFrom="paragraph">
            <wp:posOffset>-281305</wp:posOffset>
          </wp:positionV>
          <wp:extent cx="2007870" cy="669290"/>
          <wp:effectExtent l="0" t="0" r="0" b="0"/>
          <wp:wrapTight wrapText="bothSides">
            <wp:wrapPolygon edited="0">
              <wp:start x="0" y="0"/>
              <wp:lineTo x="0" y="20903"/>
              <wp:lineTo x="21313" y="20903"/>
              <wp:lineTo x="21313" y="0"/>
              <wp:lineTo x="0" y="0"/>
            </wp:wrapPolygon>
          </wp:wrapTight>
          <wp:docPr id="95740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05652" name="Picture 957405652"/>
                  <pic:cNvPicPr/>
                </pic:nvPicPr>
                <pic:blipFill>
                  <a:blip r:embed="rId1">
                    <a:extLst>
                      <a:ext uri="{28A0092B-C50C-407E-A947-70E740481C1C}">
                        <a14:useLocalDpi xmlns:a14="http://schemas.microsoft.com/office/drawing/2010/main" val="0"/>
                      </a:ext>
                    </a:extLst>
                  </a:blip>
                  <a:stretch>
                    <a:fillRect/>
                  </a:stretch>
                </pic:blipFill>
                <pic:spPr>
                  <a:xfrm>
                    <a:off x="0" y="0"/>
                    <a:ext cx="2007870" cy="669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199"/>
    <w:multiLevelType w:val="hybridMultilevel"/>
    <w:tmpl w:val="BD1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812CF"/>
    <w:multiLevelType w:val="multilevel"/>
    <w:tmpl w:val="7DB28816"/>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A2846FD"/>
    <w:multiLevelType w:val="hybridMultilevel"/>
    <w:tmpl w:val="4F8C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165CA"/>
    <w:multiLevelType w:val="hybridMultilevel"/>
    <w:tmpl w:val="A85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700C9"/>
    <w:multiLevelType w:val="hybridMultilevel"/>
    <w:tmpl w:val="9346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B2EB2"/>
    <w:multiLevelType w:val="hybridMultilevel"/>
    <w:tmpl w:val="3468C0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40956"/>
    <w:multiLevelType w:val="hybridMultilevel"/>
    <w:tmpl w:val="9A4A7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A7200"/>
    <w:multiLevelType w:val="hybridMultilevel"/>
    <w:tmpl w:val="93D4A95A"/>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86115"/>
    <w:multiLevelType w:val="hybridMultilevel"/>
    <w:tmpl w:val="4A18F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DD6690"/>
    <w:multiLevelType w:val="hybridMultilevel"/>
    <w:tmpl w:val="E20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4622F"/>
    <w:multiLevelType w:val="hybridMultilevel"/>
    <w:tmpl w:val="C38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807B2"/>
    <w:multiLevelType w:val="hybridMultilevel"/>
    <w:tmpl w:val="BBCA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E6169"/>
    <w:multiLevelType w:val="hybridMultilevel"/>
    <w:tmpl w:val="E9A0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9D4975"/>
    <w:multiLevelType w:val="hybridMultilevel"/>
    <w:tmpl w:val="BE8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56500"/>
    <w:multiLevelType w:val="hybridMultilevel"/>
    <w:tmpl w:val="65DAB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F7AF1"/>
    <w:multiLevelType w:val="hybridMultilevel"/>
    <w:tmpl w:val="9722A0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C9B3D2A"/>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E1551"/>
    <w:multiLevelType w:val="hybridMultilevel"/>
    <w:tmpl w:val="425C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C26FB"/>
    <w:multiLevelType w:val="hybridMultilevel"/>
    <w:tmpl w:val="D5FA94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1247FD"/>
    <w:multiLevelType w:val="hybridMultilevel"/>
    <w:tmpl w:val="B2EEE2D0"/>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620B3"/>
    <w:multiLevelType w:val="hybridMultilevel"/>
    <w:tmpl w:val="5A5C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31B85"/>
    <w:multiLevelType w:val="hybridMultilevel"/>
    <w:tmpl w:val="F14E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C27D6"/>
    <w:multiLevelType w:val="hybridMultilevel"/>
    <w:tmpl w:val="06D2FBF0"/>
    <w:lvl w:ilvl="0" w:tplc="B7887B50">
      <w:start w:val="1"/>
      <w:numFmt w:val="bullet"/>
      <w:lvlText w:val=""/>
      <w:lvlJc w:val="left"/>
      <w:pPr>
        <w:ind w:left="720" w:hanging="360"/>
      </w:pPr>
      <w:rPr>
        <w:rFonts w:ascii="Symbol" w:hAnsi="Symbol" w:hint="default"/>
      </w:rPr>
    </w:lvl>
    <w:lvl w:ilvl="1" w:tplc="23D8913C">
      <w:start w:val="1"/>
      <w:numFmt w:val="bullet"/>
      <w:lvlText w:val="o"/>
      <w:lvlJc w:val="left"/>
      <w:pPr>
        <w:ind w:left="1440" w:hanging="360"/>
      </w:pPr>
      <w:rPr>
        <w:rFonts w:ascii="Courier New" w:hAnsi="Courier New" w:hint="default"/>
      </w:rPr>
    </w:lvl>
    <w:lvl w:ilvl="2" w:tplc="3F1C74F2">
      <w:start w:val="1"/>
      <w:numFmt w:val="bullet"/>
      <w:lvlText w:val=""/>
      <w:lvlJc w:val="left"/>
      <w:pPr>
        <w:ind w:left="2160" w:hanging="360"/>
      </w:pPr>
      <w:rPr>
        <w:rFonts w:ascii="Wingdings" w:hAnsi="Wingdings" w:hint="default"/>
      </w:rPr>
    </w:lvl>
    <w:lvl w:ilvl="3" w:tplc="FFA875EE">
      <w:start w:val="1"/>
      <w:numFmt w:val="bullet"/>
      <w:lvlText w:val=""/>
      <w:lvlJc w:val="left"/>
      <w:pPr>
        <w:ind w:left="2880" w:hanging="360"/>
      </w:pPr>
      <w:rPr>
        <w:rFonts w:ascii="Symbol" w:hAnsi="Symbol" w:hint="default"/>
      </w:rPr>
    </w:lvl>
    <w:lvl w:ilvl="4" w:tplc="99D4BE7A">
      <w:start w:val="1"/>
      <w:numFmt w:val="bullet"/>
      <w:lvlText w:val="o"/>
      <w:lvlJc w:val="left"/>
      <w:pPr>
        <w:ind w:left="3600" w:hanging="360"/>
      </w:pPr>
      <w:rPr>
        <w:rFonts w:ascii="Courier New" w:hAnsi="Courier New" w:hint="default"/>
      </w:rPr>
    </w:lvl>
    <w:lvl w:ilvl="5" w:tplc="06F68DCE">
      <w:start w:val="1"/>
      <w:numFmt w:val="bullet"/>
      <w:lvlText w:val=""/>
      <w:lvlJc w:val="left"/>
      <w:pPr>
        <w:ind w:left="4320" w:hanging="360"/>
      </w:pPr>
      <w:rPr>
        <w:rFonts w:ascii="Wingdings" w:hAnsi="Wingdings" w:hint="default"/>
      </w:rPr>
    </w:lvl>
    <w:lvl w:ilvl="6" w:tplc="86B2CB20">
      <w:start w:val="1"/>
      <w:numFmt w:val="bullet"/>
      <w:lvlText w:val=""/>
      <w:lvlJc w:val="left"/>
      <w:pPr>
        <w:ind w:left="5040" w:hanging="360"/>
      </w:pPr>
      <w:rPr>
        <w:rFonts w:ascii="Symbol" w:hAnsi="Symbol" w:hint="default"/>
      </w:rPr>
    </w:lvl>
    <w:lvl w:ilvl="7" w:tplc="1C540B32">
      <w:start w:val="1"/>
      <w:numFmt w:val="bullet"/>
      <w:lvlText w:val="o"/>
      <w:lvlJc w:val="left"/>
      <w:pPr>
        <w:ind w:left="5760" w:hanging="360"/>
      </w:pPr>
      <w:rPr>
        <w:rFonts w:ascii="Courier New" w:hAnsi="Courier New" w:hint="default"/>
      </w:rPr>
    </w:lvl>
    <w:lvl w:ilvl="8" w:tplc="F84AC646">
      <w:start w:val="1"/>
      <w:numFmt w:val="bullet"/>
      <w:lvlText w:val=""/>
      <w:lvlJc w:val="left"/>
      <w:pPr>
        <w:ind w:left="6480" w:hanging="360"/>
      </w:pPr>
      <w:rPr>
        <w:rFonts w:ascii="Wingdings" w:hAnsi="Wingdings" w:hint="default"/>
      </w:rPr>
    </w:lvl>
  </w:abstractNum>
  <w:abstractNum w:abstractNumId="26" w15:restartNumberingAfterBreak="0">
    <w:nsid w:val="57BA43CF"/>
    <w:multiLevelType w:val="hybridMultilevel"/>
    <w:tmpl w:val="95FC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D303C9"/>
    <w:multiLevelType w:val="hybridMultilevel"/>
    <w:tmpl w:val="D46C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F30AE"/>
    <w:multiLevelType w:val="hybridMultilevel"/>
    <w:tmpl w:val="A4D4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B7770"/>
    <w:multiLevelType w:val="hybridMultilevel"/>
    <w:tmpl w:val="A77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408F6"/>
    <w:multiLevelType w:val="hybridMultilevel"/>
    <w:tmpl w:val="73D2B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967CFA"/>
    <w:multiLevelType w:val="hybridMultilevel"/>
    <w:tmpl w:val="9E7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75C61"/>
    <w:multiLevelType w:val="multilevel"/>
    <w:tmpl w:val="965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F50E9"/>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46049"/>
    <w:multiLevelType w:val="hybridMultilevel"/>
    <w:tmpl w:val="260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21626"/>
    <w:multiLevelType w:val="hybridMultilevel"/>
    <w:tmpl w:val="DA78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25E06"/>
    <w:multiLevelType w:val="multilevel"/>
    <w:tmpl w:val="B22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F31056"/>
    <w:multiLevelType w:val="hybridMultilevel"/>
    <w:tmpl w:val="EABE0692"/>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451182">
    <w:abstractNumId w:val="5"/>
  </w:num>
  <w:num w:numId="2" w16cid:durableId="2000881280">
    <w:abstractNumId w:val="22"/>
  </w:num>
  <w:num w:numId="3" w16cid:durableId="1420519148">
    <w:abstractNumId w:val="6"/>
  </w:num>
  <w:num w:numId="4" w16cid:durableId="544833525">
    <w:abstractNumId w:val="14"/>
  </w:num>
  <w:num w:numId="5" w16cid:durableId="115607245">
    <w:abstractNumId w:val="29"/>
  </w:num>
  <w:num w:numId="6" w16cid:durableId="947391968">
    <w:abstractNumId w:val="34"/>
  </w:num>
  <w:num w:numId="7" w16cid:durableId="2140372703">
    <w:abstractNumId w:val="36"/>
  </w:num>
  <w:num w:numId="8" w16cid:durableId="442041547">
    <w:abstractNumId w:val="30"/>
  </w:num>
  <w:num w:numId="9" w16cid:durableId="411776528">
    <w:abstractNumId w:val="28"/>
  </w:num>
  <w:num w:numId="10" w16cid:durableId="177621320">
    <w:abstractNumId w:val="7"/>
  </w:num>
  <w:num w:numId="11" w16cid:durableId="478813803">
    <w:abstractNumId w:val="21"/>
  </w:num>
  <w:num w:numId="12" w16cid:durableId="666136897">
    <w:abstractNumId w:val="26"/>
  </w:num>
  <w:num w:numId="13" w16cid:durableId="687800758">
    <w:abstractNumId w:val="10"/>
  </w:num>
  <w:num w:numId="14" w16cid:durableId="1673409687">
    <w:abstractNumId w:val="19"/>
  </w:num>
  <w:num w:numId="15" w16cid:durableId="1710641492">
    <w:abstractNumId w:val="27"/>
  </w:num>
  <w:num w:numId="16" w16cid:durableId="1755474868">
    <w:abstractNumId w:val="15"/>
  </w:num>
  <w:num w:numId="17" w16cid:durableId="1601449720">
    <w:abstractNumId w:val="9"/>
  </w:num>
  <w:num w:numId="18" w16cid:durableId="511644637">
    <w:abstractNumId w:val="31"/>
  </w:num>
  <w:num w:numId="19" w16cid:durableId="897279939">
    <w:abstractNumId w:val="23"/>
  </w:num>
  <w:num w:numId="20" w16cid:durableId="2101563243">
    <w:abstractNumId w:val="16"/>
  </w:num>
  <w:num w:numId="21" w16cid:durableId="901020343">
    <w:abstractNumId w:val="38"/>
  </w:num>
  <w:num w:numId="22" w16cid:durableId="772169818">
    <w:abstractNumId w:val="25"/>
  </w:num>
  <w:num w:numId="23" w16cid:durableId="431895380">
    <w:abstractNumId w:val="11"/>
  </w:num>
  <w:num w:numId="24" w16cid:durableId="1451053109">
    <w:abstractNumId w:val="4"/>
  </w:num>
  <w:num w:numId="25" w16cid:durableId="322003758">
    <w:abstractNumId w:val="32"/>
  </w:num>
  <w:num w:numId="26" w16cid:durableId="1435443987">
    <w:abstractNumId w:val="2"/>
  </w:num>
  <w:num w:numId="27" w16cid:durableId="1889410261">
    <w:abstractNumId w:val="35"/>
  </w:num>
  <w:num w:numId="28" w16cid:durableId="214391439">
    <w:abstractNumId w:val="37"/>
  </w:num>
  <w:num w:numId="29" w16cid:durableId="1120566096">
    <w:abstractNumId w:val="13"/>
  </w:num>
  <w:num w:numId="30" w16cid:durableId="1747920165">
    <w:abstractNumId w:val="3"/>
  </w:num>
  <w:num w:numId="31" w16cid:durableId="301009002">
    <w:abstractNumId w:val="18"/>
  </w:num>
  <w:num w:numId="32" w16cid:durableId="1425881014">
    <w:abstractNumId w:val="12"/>
  </w:num>
  <w:num w:numId="33" w16cid:durableId="547186402">
    <w:abstractNumId w:val="24"/>
  </w:num>
  <w:num w:numId="34" w16cid:durableId="1725329836">
    <w:abstractNumId w:val="0"/>
  </w:num>
  <w:num w:numId="35" w16cid:durableId="925110054">
    <w:abstractNumId w:val="17"/>
  </w:num>
  <w:num w:numId="36" w16cid:durableId="230384479">
    <w:abstractNumId w:val="8"/>
  </w:num>
  <w:num w:numId="37" w16cid:durableId="830606949">
    <w:abstractNumId w:val="33"/>
  </w:num>
  <w:num w:numId="38" w16cid:durableId="764887906">
    <w:abstractNumId w:val="20"/>
  </w:num>
  <w:num w:numId="39" w16cid:durableId="111287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1E7F"/>
    <w:rsid w:val="00015A6D"/>
    <w:rsid w:val="00020589"/>
    <w:rsid w:val="00042023"/>
    <w:rsid w:val="00053D1F"/>
    <w:rsid w:val="000623CB"/>
    <w:rsid w:val="00081896"/>
    <w:rsid w:val="00097D44"/>
    <w:rsid w:val="000A640E"/>
    <w:rsid w:val="000B7DC1"/>
    <w:rsid w:val="000C4E52"/>
    <w:rsid w:val="000C6AC8"/>
    <w:rsid w:val="00140D47"/>
    <w:rsid w:val="00164743"/>
    <w:rsid w:val="001B2DC8"/>
    <w:rsid w:val="001B7A00"/>
    <w:rsid w:val="001C6919"/>
    <w:rsid w:val="00217EA3"/>
    <w:rsid w:val="00235AF7"/>
    <w:rsid w:val="00275693"/>
    <w:rsid w:val="00292BD3"/>
    <w:rsid w:val="002C6CFD"/>
    <w:rsid w:val="002E4255"/>
    <w:rsid w:val="002F391E"/>
    <w:rsid w:val="0030379C"/>
    <w:rsid w:val="003370F1"/>
    <w:rsid w:val="003544B5"/>
    <w:rsid w:val="00361F98"/>
    <w:rsid w:val="003621BA"/>
    <w:rsid w:val="00372A05"/>
    <w:rsid w:val="00372BE2"/>
    <w:rsid w:val="0039221A"/>
    <w:rsid w:val="003943B8"/>
    <w:rsid w:val="003D2868"/>
    <w:rsid w:val="003D74F4"/>
    <w:rsid w:val="003F64A8"/>
    <w:rsid w:val="00405BE1"/>
    <w:rsid w:val="004256ED"/>
    <w:rsid w:val="00430823"/>
    <w:rsid w:val="00442B64"/>
    <w:rsid w:val="00445D00"/>
    <w:rsid w:val="00452779"/>
    <w:rsid w:val="00470E9E"/>
    <w:rsid w:val="0048439C"/>
    <w:rsid w:val="00497227"/>
    <w:rsid w:val="004A7B80"/>
    <w:rsid w:val="00547DEA"/>
    <w:rsid w:val="00597B1D"/>
    <w:rsid w:val="005C4B59"/>
    <w:rsid w:val="00633FE4"/>
    <w:rsid w:val="00645331"/>
    <w:rsid w:val="00647B98"/>
    <w:rsid w:val="00652876"/>
    <w:rsid w:val="006973D2"/>
    <w:rsid w:val="006E05E5"/>
    <w:rsid w:val="00701ED6"/>
    <w:rsid w:val="00702CC3"/>
    <w:rsid w:val="007106D9"/>
    <w:rsid w:val="0071112B"/>
    <w:rsid w:val="00752BA4"/>
    <w:rsid w:val="00780824"/>
    <w:rsid w:val="00795F9E"/>
    <w:rsid w:val="007965A2"/>
    <w:rsid w:val="007B44B7"/>
    <w:rsid w:val="007D762D"/>
    <w:rsid w:val="00813FF9"/>
    <w:rsid w:val="008463C0"/>
    <w:rsid w:val="00867821"/>
    <w:rsid w:val="0087004C"/>
    <w:rsid w:val="0089233F"/>
    <w:rsid w:val="00895540"/>
    <w:rsid w:val="008E5AE0"/>
    <w:rsid w:val="008F0806"/>
    <w:rsid w:val="00913996"/>
    <w:rsid w:val="009473A4"/>
    <w:rsid w:val="00952946"/>
    <w:rsid w:val="0098524D"/>
    <w:rsid w:val="0099270A"/>
    <w:rsid w:val="009C4366"/>
    <w:rsid w:val="009E3F20"/>
    <w:rsid w:val="00A21F69"/>
    <w:rsid w:val="00A41B04"/>
    <w:rsid w:val="00A66924"/>
    <w:rsid w:val="00A758C9"/>
    <w:rsid w:val="00A91C7E"/>
    <w:rsid w:val="00AC0939"/>
    <w:rsid w:val="00AF43A0"/>
    <w:rsid w:val="00B246FB"/>
    <w:rsid w:val="00B34EF6"/>
    <w:rsid w:val="00B41858"/>
    <w:rsid w:val="00B510F3"/>
    <w:rsid w:val="00B85F06"/>
    <w:rsid w:val="00BA461B"/>
    <w:rsid w:val="00BB65B2"/>
    <w:rsid w:val="00BC46BC"/>
    <w:rsid w:val="00BD0900"/>
    <w:rsid w:val="00C62A99"/>
    <w:rsid w:val="00C701DA"/>
    <w:rsid w:val="00C8272F"/>
    <w:rsid w:val="00C860BF"/>
    <w:rsid w:val="00CA7EAA"/>
    <w:rsid w:val="00D017A6"/>
    <w:rsid w:val="00D166B0"/>
    <w:rsid w:val="00D91FE5"/>
    <w:rsid w:val="00DD29A7"/>
    <w:rsid w:val="00DD3FBB"/>
    <w:rsid w:val="00DF76E9"/>
    <w:rsid w:val="00E01EC2"/>
    <w:rsid w:val="00E26EDD"/>
    <w:rsid w:val="00E379FC"/>
    <w:rsid w:val="00E55861"/>
    <w:rsid w:val="00E84FA8"/>
    <w:rsid w:val="00E87C7C"/>
    <w:rsid w:val="00EA4778"/>
    <w:rsid w:val="00EB4A8F"/>
    <w:rsid w:val="00EB64E0"/>
    <w:rsid w:val="00EC7EB5"/>
    <w:rsid w:val="00EE1DD2"/>
    <w:rsid w:val="00EE6AB7"/>
    <w:rsid w:val="00F0106D"/>
    <w:rsid w:val="00F149B6"/>
    <w:rsid w:val="00F25E46"/>
    <w:rsid w:val="00F50558"/>
    <w:rsid w:val="00F87004"/>
    <w:rsid w:val="00FB28A9"/>
    <w:rsid w:val="00FC0A4B"/>
    <w:rsid w:val="00FE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1438"/>
  <w15:docId w15:val="{D50E32A0-2458-4DE7-9814-1B21EAF6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E0"/>
    <w:rPr>
      <w:sz w:val="24"/>
    </w:rPr>
  </w:style>
  <w:style w:type="paragraph" w:styleId="Heading1">
    <w:name w:val="heading 1"/>
    <w:basedOn w:val="Normal"/>
    <w:next w:val="Normal"/>
    <w:link w:val="Heading1Char"/>
    <w:uiPriority w:val="9"/>
    <w:qFormat/>
    <w:rsid w:val="00EB64E0"/>
    <w:pPr>
      <w:keepNext/>
      <w:keepLines/>
      <w:spacing w:before="480" w:after="0"/>
      <w:outlineLvl w:val="0"/>
    </w:pPr>
    <w:rPr>
      <w:rFonts w:asciiTheme="majorHAnsi" w:eastAsiaTheme="majorEastAsia" w:hAnsiTheme="majorHAnsi" w:cstheme="majorBidi"/>
      <w:b/>
      <w:bCs/>
      <w:color w:val="3C2466" w:themeColor="accent1" w:themeShade="BF"/>
      <w:sz w:val="28"/>
      <w:szCs w:val="28"/>
    </w:rPr>
  </w:style>
  <w:style w:type="paragraph" w:styleId="Heading2">
    <w:name w:val="heading 2"/>
    <w:basedOn w:val="Normal"/>
    <w:next w:val="Normal"/>
    <w:link w:val="Heading2Char"/>
    <w:uiPriority w:val="9"/>
    <w:unhideWhenUsed/>
    <w:qFormat/>
    <w:rsid w:val="00647B98"/>
    <w:pPr>
      <w:keepNext/>
      <w:keepLines/>
      <w:spacing w:before="200" w:after="0"/>
      <w:outlineLvl w:val="1"/>
    </w:pPr>
    <w:rPr>
      <w:rFonts w:asciiTheme="majorHAnsi" w:eastAsiaTheme="majorEastAsia" w:hAnsiTheme="majorHAnsi" w:cstheme="majorBidi"/>
      <w:b/>
      <w:bCs/>
      <w:color w:val="513089" w:themeColor="accent1"/>
      <w:sz w:val="26"/>
      <w:szCs w:val="26"/>
    </w:rPr>
  </w:style>
  <w:style w:type="paragraph" w:styleId="Heading3">
    <w:name w:val="heading 3"/>
    <w:basedOn w:val="Normal"/>
    <w:next w:val="Normal"/>
    <w:link w:val="Heading3Char"/>
    <w:uiPriority w:val="9"/>
    <w:unhideWhenUsed/>
    <w:qFormat/>
    <w:rsid w:val="00647B98"/>
    <w:pPr>
      <w:keepNext/>
      <w:keepLines/>
      <w:spacing w:before="200" w:after="0"/>
      <w:outlineLvl w:val="2"/>
    </w:pPr>
    <w:rPr>
      <w:rFonts w:asciiTheme="majorHAnsi" w:eastAsiaTheme="majorEastAsia" w:hAnsiTheme="majorHAnsi" w:cstheme="majorBidi"/>
      <w:b/>
      <w:bCs/>
      <w:color w:val="513089"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qFormat/>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qFormat/>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EB64E0"/>
    <w:rPr>
      <w:rFonts w:asciiTheme="majorHAnsi" w:eastAsiaTheme="majorEastAsia" w:hAnsiTheme="majorHAnsi" w:cstheme="majorBidi"/>
      <w:b/>
      <w:bCs/>
      <w:color w:val="3C2466" w:themeColor="accent1" w:themeShade="BF"/>
      <w:sz w:val="28"/>
      <w:szCs w:val="28"/>
    </w:rPr>
  </w:style>
  <w:style w:type="character" w:styleId="Hyperlink">
    <w:name w:val="Hyperlink"/>
    <w:basedOn w:val="DefaultParagraphFont"/>
    <w:uiPriority w:val="99"/>
    <w:unhideWhenUsed/>
    <w:rsid w:val="009C4366"/>
    <w:rPr>
      <w:color w:val="E74A3B" w:themeColor="hyperlink"/>
      <w:u w:val="single"/>
    </w:rPr>
  </w:style>
  <w:style w:type="paragraph" w:styleId="ListParagraph">
    <w:name w:val="List Paragraph"/>
    <w:basedOn w:val="Normal"/>
    <w:link w:val="ListParagraphChar"/>
    <w:uiPriority w:val="34"/>
    <w:qFormat/>
    <w:rsid w:val="009C4366"/>
    <w:pPr>
      <w:ind w:left="720"/>
      <w:contextualSpacing/>
    </w:pPr>
  </w:style>
  <w:style w:type="character" w:customStyle="1" w:styleId="Heading2Char">
    <w:name w:val="Heading 2 Char"/>
    <w:basedOn w:val="DefaultParagraphFont"/>
    <w:link w:val="Heading2"/>
    <w:uiPriority w:val="9"/>
    <w:rsid w:val="00647B98"/>
    <w:rPr>
      <w:rFonts w:asciiTheme="majorHAnsi" w:eastAsiaTheme="majorEastAsia" w:hAnsiTheme="majorHAnsi" w:cstheme="majorBidi"/>
      <w:b/>
      <w:bCs/>
      <w:color w:val="513089" w:themeColor="accent1"/>
      <w:sz w:val="26"/>
      <w:szCs w:val="26"/>
    </w:rPr>
  </w:style>
  <w:style w:type="character" w:customStyle="1" w:styleId="Heading3Char">
    <w:name w:val="Heading 3 Char"/>
    <w:basedOn w:val="DefaultParagraphFont"/>
    <w:link w:val="Heading3"/>
    <w:uiPriority w:val="9"/>
    <w:rsid w:val="00647B98"/>
    <w:rPr>
      <w:rFonts w:asciiTheme="majorHAnsi" w:eastAsiaTheme="majorEastAsia" w:hAnsiTheme="majorHAnsi" w:cstheme="majorBidi"/>
      <w:b/>
      <w:bCs/>
      <w:color w:val="513089" w:themeColor="accent1"/>
    </w:rPr>
  </w:style>
  <w:style w:type="character" w:styleId="Strong">
    <w:name w:val="Strong"/>
    <w:basedOn w:val="DefaultParagraphFont"/>
    <w:uiPriority w:val="22"/>
    <w:qFormat/>
    <w:rsid w:val="00647B98"/>
    <w:rPr>
      <w:b/>
      <w:bCs/>
    </w:rPr>
  </w:style>
  <w:style w:type="paragraph" w:styleId="TOC1">
    <w:name w:val="toc 1"/>
    <w:basedOn w:val="Normal"/>
    <w:next w:val="Normal"/>
    <w:autoRedefine/>
    <w:uiPriority w:val="39"/>
    <w:unhideWhenUsed/>
    <w:qFormat/>
    <w:rsid w:val="00B246FB"/>
    <w:pPr>
      <w:pBdr>
        <w:top w:val="single" w:sz="4" w:space="4" w:color="B9B9B9"/>
        <w:bottom w:val="single" w:sz="4" w:space="4" w:color="B9B9B9"/>
      </w:pBdr>
      <w:tabs>
        <w:tab w:val="right" w:pos="9854"/>
      </w:tabs>
      <w:spacing w:after="140" w:line="240" w:lineRule="auto"/>
      <w:textboxTightWrap w:val="allLines"/>
    </w:pPr>
    <w:rPr>
      <w:rFonts w:ascii="Arial" w:eastAsia="Times New Roman" w:hAnsi="Arial" w:cs="Times New Roman"/>
      <w:b/>
      <w:noProof/>
      <w:color w:val="003350"/>
      <w:sz w:val="28"/>
      <w:szCs w:val="24"/>
      <w:lang w:eastAsia="en-GB"/>
    </w:rPr>
  </w:style>
  <w:style w:type="paragraph" w:styleId="Title">
    <w:name w:val="Title"/>
    <w:basedOn w:val="Normal"/>
    <w:link w:val="TitleChar"/>
    <w:uiPriority w:val="10"/>
    <w:qFormat/>
    <w:rsid w:val="00B246FB"/>
    <w:pPr>
      <w:tabs>
        <w:tab w:val="right" w:pos="14580"/>
      </w:tabs>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B246FB"/>
    <w:rPr>
      <w:rFonts w:ascii="Arial" w:eastAsia="Times New Roman" w:hAnsi="Arial" w:cs="Arial"/>
      <w:b/>
      <w:bCs/>
      <w:kern w:val="28"/>
      <w:sz w:val="32"/>
      <w:szCs w:val="32"/>
    </w:rPr>
  </w:style>
  <w:style w:type="character" w:customStyle="1" w:styleId="ListParagraphChar">
    <w:name w:val="List Paragraph Char"/>
    <w:link w:val="ListParagraph"/>
    <w:locked/>
    <w:rsid w:val="00B246FB"/>
    <w:rPr>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246F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39"/>
    <w:rsid w:val="00B246FB"/>
    <w:pPr>
      <w:spacing w:after="0" w:line="240" w:lineRule="auto"/>
    </w:pPr>
    <w:rPr>
      <w:rFonts w:ascii="Arial" w:eastAsia="HGSMinchoE"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sz="8" w:space="0" w:color="FB4A3B" w:themeColor="accent4"/>
        <w:left w:val="single" w:sz="8" w:space="0" w:color="FB4A3B" w:themeColor="accent4"/>
        <w:bottom w:val="single" w:sz="8" w:space="0" w:color="FB4A3B" w:themeColor="accent4"/>
        <w:right w:val="single" w:sz="8" w:space="0" w:color="FB4A3B" w:themeColor="accent4"/>
        <w:insideH w:val="single" w:sz="8" w:space="0" w:color="FB4A3B" w:themeColor="accent4"/>
        <w:insideV w:val="single" w:sz="8" w:space="0" w:color="FB4A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18" w:space="0" w:color="FB4A3B" w:themeColor="accent4"/>
          <w:right w:val="single" w:sz="8" w:space="0" w:color="FB4A3B" w:themeColor="accent4"/>
          <w:insideH w:val="nil"/>
          <w:insideV w:val="single" w:sz="8" w:space="0" w:color="FB4A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4A3B" w:themeColor="accent4"/>
          <w:left w:val="single" w:sz="8" w:space="0" w:color="FB4A3B" w:themeColor="accent4"/>
          <w:bottom w:val="single" w:sz="8" w:space="0" w:color="FB4A3B" w:themeColor="accent4"/>
          <w:right w:val="single" w:sz="8" w:space="0" w:color="FB4A3B" w:themeColor="accent4"/>
          <w:insideH w:val="nil"/>
          <w:insideV w:val="single" w:sz="8" w:space="0" w:color="FB4A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tcPr>
    </w:tblStylePr>
    <w:tblStylePr w:type="band1Vert">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shd w:val="clear" w:color="auto" w:fill="FED1CE" w:themeFill="accent4" w:themeFillTint="3F"/>
      </w:tcPr>
    </w:tblStylePr>
    <w:tblStylePr w:type="band1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shd w:val="clear" w:color="auto" w:fill="FED1CE" w:themeFill="accent4" w:themeFillTint="3F"/>
      </w:tcPr>
    </w:tblStylePr>
    <w:tblStylePr w:type="band2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sz="8" w:space="0" w:color="FB4A3B" w:themeColor="accent4"/>
        <w:bottom w:val="single" w:sz="8" w:space="0" w:color="FB4A3B" w:themeColor="accent4"/>
      </w:tblBorders>
    </w:tblPr>
    <w:tblStylePr w:type="fir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la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ED1CE" w:themeFill="accent4"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FB4A3B" w:themeFill="accent4"/>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FB4A3B" w:themeFill="accent4"/>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FDA49D" w:themeFill="accent4"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FDA49D" w:themeFill="accent4" w:themeFillTint="7F"/>
      </w:tcPr>
    </w:tblStylePr>
  </w:style>
  <w:style w:type="paragraph" w:styleId="TOC3">
    <w:name w:val="toc 3"/>
    <w:basedOn w:val="Normal"/>
    <w:next w:val="Normal"/>
    <w:autoRedefine/>
    <w:uiPriority w:val="39"/>
    <w:unhideWhenUsed/>
    <w:rsid w:val="00B246FB"/>
    <w:pPr>
      <w:spacing w:after="100" w:line="240" w:lineRule="auto"/>
      <w:ind w:left="480"/>
      <w:textboxTightWrap w:val="allLines"/>
    </w:pPr>
    <w:rPr>
      <w:rFonts w:ascii="Arial" w:eastAsia="Times New Roman" w:hAnsi="Arial" w:cs="Times New Roman"/>
      <w:szCs w:val="24"/>
      <w:lang w:eastAsia="en-GB"/>
    </w:rPr>
  </w:style>
  <w:style w:type="paragraph" w:styleId="Subtitle">
    <w:name w:val="Subtitle"/>
    <w:basedOn w:val="Normal"/>
    <w:next w:val="Normal"/>
    <w:link w:val="SubtitleChar"/>
    <w:uiPriority w:val="11"/>
    <w:qFormat/>
    <w:rsid w:val="00B246FB"/>
    <w:pPr>
      <w:numPr>
        <w:ilvl w:val="1"/>
      </w:numPr>
    </w:pPr>
    <w:rPr>
      <w:rFonts w:asciiTheme="majorHAnsi" w:eastAsiaTheme="majorEastAsia" w:hAnsiTheme="majorHAnsi" w:cstheme="majorBidi"/>
      <w:i/>
      <w:iCs/>
      <w:color w:val="513089" w:themeColor="accent1"/>
      <w:spacing w:val="15"/>
      <w:szCs w:val="24"/>
    </w:rPr>
  </w:style>
  <w:style w:type="character" w:customStyle="1" w:styleId="SubtitleChar">
    <w:name w:val="Subtitle Char"/>
    <w:basedOn w:val="DefaultParagraphFont"/>
    <w:link w:val="Subtitle"/>
    <w:uiPriority w:val="11"/>
    <w:rsid w:val="00B246FB"/>
    <w:rPr>
      <w:rFonts w:asciiTheme="majorHAnsi" w:eastAsiaTheme="majorEastAsia" w:hAnsiTheme="majorHAnsi" w:cstheme="majorBidi"/>
      <w:i/>
      <w:iCs/>
      <w:color w:val="513089" w:themeColor="accent1"/>
      <w:spacing w:val="15"/>
      <w:sz w:val="24"/>
      <w:szCs w:val="24"/>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ECC8E5" w:themeFill="accent2"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A1368D" w:themeFill="accent2"/>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A1368D" w:themeFill="accent2"/>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DA90CC" w:themeFill="accent2"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sz="8" w:space="0" w:color="A1368D" w:themeColor="accent2"/>
        <w:bottom w:val="single" w:sz="8" w:space="0" w:color="A1368D" w:themeColor="accent2"/>
      </w:tblBorders>
    </w:tblPr>
    <w:tblStylePr w:type="fir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la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sz="8" w:space="0" w:color="513089" w:themeColor="accent1"/>
        <w:bottom w:val="single" w:sz="8" w:space="0" w:color="513089" w:themeColor="accent1"/>
      </w:tblBorders>
    </w:tblPr>
    <w:tblStylePr w:type="fir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la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insideH w:val="single" w:sz="8" w:space="0" w:color="A1368D" w:themeColor="accent2"/>
        <w:insideV w:val="single" w:sz="8" w:space="0" w:color="A136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18" w:space="0" w:color="A1368D" w:themeColor="accent2"/>
          <w:right w:val="single" w:sz="8" w:space="0" w:color="A1368D" w:themeColor="accent2"/>
          <w:insideH w:val="nil"/>
          <w:insideV w:val="single" w:sz="8" w:space="0" w:color="A136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insideH w:val="nil"/>
          <w:insideV w:val="single" w:sz="8" w:space="0" w:color="A136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shd w:val="clear" w:color="auto" w:fill="ECC8E5" w:themeFill="accent2" w:themeFillTint="3F"/>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shd w:val="clear" w:color="auto" w:fill="ECC8E5" w:themeFill="accent2" w:themeFillTint="3F"/>
      </w:tcPr>
    </w:tblStylePr>
    <w:tblStylePr w:type="band2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5D7E6" w:themeFill="accent3"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D75E9E" w:themeFill="accent3"/>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D75E9E" w:themeFill="accent3"/>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EBAECE" w:themeFill="accent3"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tcBorders>
      </w:tcPr>
    </w:tblStylePr>
    <w:tblStylePr w:type="firstCol">
      <w:rPr>
        <w:b/>
        <w:bCs/>
      </w:rPr>
    </w:tblStylePr>
    <w:tblStylePr w:type="lastCol">
      <w:rPr>
        <w:b/>
        <w:bCs/>
      </w:r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sz="8" w:space="0" w:color="D75E9E" w:themeColor="accent3"/>
        <w:left w:val="single" w:sz="8" w:space="0" w:color="D75E9E" w:themeColor="accent3"/>
        <w:bottom w:val="single" w:sz="8" w:space="0" w:color="D75E9E" w:themeColor="accent3"/>
        <w:right w:val="single" w:sz="8" w:space="0" w:color="D75E9E" w:themeColor="accent3"/>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sz="6" w:space="0" w:color="D75E9E" w:themeColor="accent3"/>
          <w:left w:val="single" w:sz="8" w:space="0" w:color="D75E9E" w:themeColor="accent3"/>
          <w:bottom w:val="single" w:sz="8" w:space="0" w:color="D75E9E" w:themeColor="accent3"/>
          <w:right w:val="single" w:sz="8" w:space="0" w:color="D75E9E" w:themeColor="accent3"/>
        </w:tcBorders>
      </w:tcPr>
    </w:tblStylePr>
    <w:tblStylePr w:type="firstCol">
      <w:rPr>
        <w:b/>
        <w:bCs/>
      </w:rPr>
    </w:tblStylePr>
    <w:tblStylePr w:type="lastCol">
      <w:rPr>
        <w:b/>
        <w:bCs/>
      </w:rPr>
    </w:tblStylePr>
    <w:tblStylePr w:type="band1Vert">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tblStylePr w:type="band1Horz">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tblBorders>
    </w:tblPr>
    <w:tblStylePr w:type="firstRow">
      <w:pPr>
        <w:spacing w:before="0" w:after="0" w:line="240" w:lineRule="auto"/>
      </w:pPr>
      <w:rPr>
        <w:b/>
        <w:bCs/>
        <w:color w:val="FEFCFF" w:themeColor="background1"/>
      </w:rPr>
      <w:tblPr/>
      <w:tcPr>
        <w:tc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shd w:val="clear" w:color="auto" w:fill="A1368D" w:themeFill="accent2"/>
      </w:tcPr>
    </w:tblStylePr>
    <w:tblStylePr w:type="lastRow">
      <w:pPr>
        <w:spacing w:before="0" w:after="0" w:line="240" w:lineRule="auto"/>
      </w:pPr>
      <w:rPr>
        <w:b/>
        <w:bCs/>
      </w:rPr>
      <w:tblPr/>
      <w:tcPr>
        <w:tcBorders>
          <w:top w:val="double" w:sz="6"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insideV w:val="single" w:sz="8" w:space="0" w:color="C759B2" w:themeColor="accent2" w:themeTint="BF"/>
      </w:tblBorders>
    </w:tblPr>
    <w:tcPr>
      <w:shd w:val="clear" w:color="auto" w:fill="ECC8E5" w:themeFill="accent2" w:themeFillTint="3F"/>
    </w:tcPr>
    <w:tblStylePr w:type="firstRow">
      <w:rPr>
        <w:b/>
        <w:bCs/>
      </w:rPr>
    </w:tblStylePr>
    <w:tblStylePr w:type="lastRow">
      <w:rPr>
        <w:b/>
        <w:bCs/>
      </w:rPr>
      <w:tblPr/>
      <w:tcPr>
        <w:tcBorders>
          <w:top w:val="single" w:sz="18" w:space="0" w:color="C759B2" w:themeColor="accent2" w:themeTint="BF"/>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character" w:styleId="UnresolvedMention">
    <w:name w:val="Unresolved Mention"/>
    <w:basedOn w:val="DefaultParagraphFont"/>
    <w:uiPriority w:val="99"/>
    <w:semiHidden/>
    <w:unhideWhenUsed/>
    <w:rsid w:val="007965A2"/>
    <w:rPr>
      <w:color w:val="605E5C"/>
      <w:shd w:val="clear" w:color="auto" w:fill="E1DFDD"/>
    </w:rPr>
  </w:style>
  <w:style w:type="character" w:styleId="CommentReference">
    <w:name w:val="annotation reference"/>
    <w:basedOn w:val="DefaultParagraphFont"/>
    <w:uiPriority w:val="99"/>
    <w:semiHidden/>
    <w:unhideWhenUsed/>
    <w:rsid w:val="000A640E"/>
    <w:rPr>
      <w:sz w:val="16"/>
      <w:szCs w:val="16"/>
    </w:rPr>
  </w:style>
  <w:style w:type="paragraph" w:styleId="CommentText">
    <w:name w:val="annotation text"/>
    <w:basedOn w:val="Normal"/>
    <w:link w:val="CommentTextChar"/>
    <w:uiPriority w:val="99"/>
    <w:unhideWhenUsed/>
    <w:rsid w:val="000A640E"/>
    <w:pPr>
      <w:spacing w:line="240" w:lineRule="auto"/>
    </w:pPr>
    <w:rPr>
      <w:sz w:val="20"/>
      <w:szCs w:val="20"/>
    </w:rPr>
  </w:style>
  <w:style w:type="character" w:customStyle="1" w:styleId="CommentTextChar">
    <w:name w:val="Comment Text Char"/>
    <w:basedOn w:val="DefaultParagraphFont"/>
    <w:link w:val="CommentText"/>
    <w:uiPriority w:val="99"/>
    <w:rsid w:val="000A640E"/>
    <w:rPr>
      <w:sz w:val="20"/>
      <w:szCs w:val="20"/>
    </w:rPr>
  </w:style>
  <w:style w:type="paragraph" w:styleId="CommentSubject">
    <w:name w:val="annotation subject"/>
    <w:basedOn w:val="CommentText"/>
    <w:next w:val="CommentText"/>
    <w:link w:val="CommentSubjectChar"/>
    <w:uiPriority w:val="99"/>
    <w:semiHidden/>
    <w:unhideWhenUsed/>
    <w:rsid w:val="000A640E"/>
    <w:rPr>
      <w:b/>
      <w:bCs/>
    </w:rPr>
  </w:style>
  <w:style w:type="character" w:customStyle="1" w:styleId="CommentSubjectChar">
    <w:name w:val="Comment Subject Char"/>
    <w:basedOn w:val="CommentTextChar"/>
    <w:link w:val="CommentSubject"/>
    <w:uiPriority w:val="99"/>
    <w:semiHidden/>
    <w:rsid w:val="000A6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your-nhs-data-mat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national-data-opt-out/compliance-with-the-national-data-opt-ou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B7A03E6AA3C45A3DAC75F8B2B328D" ma:contentTypeVersion="15" ma:contentTypeDescription="Create a new document." ma:contentTypeScope="" ma:versionID="cae5fa88e53c7dbff4400583dcbe95f2">
  <xsd:schema xmlns:xsd="http://www.w3.org/2001/XMLSchema" xmlns:xs="http://www.w3.org/2001/XMLSchema" xmlns:p="http://schemas.microsoft.com/office/2006/metadata/properties" xmlns:ns2="f49b8513-4822-461d-baac-70c956885f33" xmlns:ns3="3325f759-b302-4646-8fe7-058150930376" targetNamespace="http://schemas.microsoft.com/office/2006/metadata/properties" ma:root="true" ma:fieldsID="ebe35157855bd2718f197114d042ab0c" ns2:_="" ns3:_="">
    <xsd:import namespace="f49b8513-4822-461d-baac-70c956885f33"/>
    <xsd:import namespace="3325f759-b302-4646-8fe7-058150930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b8513-4822-461d-baac-70c956885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eb10f-c8b8-4895-a060-6dffab86895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5f759-b302-4646-8fe7-058150930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300d1f-a4db-4564-8f77-f52ddc1d607d}" ma:internalName="TaxCatchAll" ma:showField="CatchAllData" ma:web="3325f759-b302-4646-8fe7-0581509303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F239-12C4-42E7-9C12-F43F80AA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b8513-4822-461d-baac-70c956885f33"/>
    <ds:schemaRef ds:uri="3325f759-b302-4646-8fe7-058150930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4FAF4-D326-489D-86AE-0C56E7A082F7}">
  <ds:schemaRefs>
    <ds:schemaRef ds:uri="http://schemas.microsoft.com/sharepoint/v3/contenttype/forms"/>
  </ds:schemaRefs>
</ds:datastoreItem>
</file>

<file path=customXml/itemProps3.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Thorn TPIC</dc:creator>
  <cp:lastModifiedBy>Mike Slator</cp:lastModifiedBy>
  <cp:revision>3</cp:revision>
  <dcterms:created xsi:type="dcterms:W3CDTF">2024-02-12T14:59:00Z</dcterms:created>
  <dcterms:modified xsi:type="dcterms:W3CDTF">2024-02-13T13:19:00Z</dcterms:modified>
</cp:coreProperties>
</file>